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43" w:rsidRDefault="00FE7943" w:rsidP="00FE7943">
      <w:pPr>
        <w:spacing w:after="0" w:line="240" w:lineRule="auto"/>
        <w:ind w:left="11" w:hanging="11"/>
        <w:jc w:val="center"/>
        <w:rPr>
          <w:b/>
          <w:color w:val="auto"/>
        </w:rPr>
      </w:pPr>
      <w:r>
        <w:rPr>
          <w:b/>
          <w:color w:val="auto"/>
        </w:rPr>
        <w:t xml:space="preserve">Аннотация к рабочей </w:t>
      </w:r>
      <w:proofErr w:type="gramStart"/>
      <w:r>
        <w:rPr>
          <w:b/>
          <w:color w:val="auto"/>
        </w:rPr>
        <w:t>учебной  программе</w:t>
      </w:r>
      <w:proofErr w:type="gramEnd"/>
      <w:r>
        <w:rPr>
          <w:b/>
          <w:color w:val="auto"/>
        </w:rPr>
        <w:t xml:space="preserve"> </w:t>
      </w:r>
    </w:p>
    <w:p w:rsidR="00FE7943" w:rsidRPr="00FE7943" w:rsidRDefault="00FE7943" w:rsidP="00FE7943">
      <w:pPr>
        <w:spacing w:after="0" w:line="240" w:lineRule="auto"/>
        <w:ind w:left="11" w:hanging="11"/>
        <w:jc w:val="center"/>
        <w:rPr>
          <w:color w:val="auto"/>
        </w:rPr>
      </w:pPr>
      <w:r w:rsidRPr="00FE7943">
        <w:rPr>
          <w:b/>
          <w:color w:val="auto"/>
        </w:rPr>
        <w:t>«</w:t>
      </w:r>
      <w:r w:rsidR="006B2922" w:rsidRPr="006B2922">
        <w:rPr>
          <w:b/>
          <w:color w:val="auto"/>
        </w:rPr>
        <w:t>ЧЕЛОВЕК</w:t>
      </w:r>
      <w:r w:rsidRPr="00FE7943">
        <w:rPr>
          <w:rFonts w:eastAsia="Calibri"/>
          <w:b/>
          <w:i/>
          <w:color w:val="auto"/>
          <w:sz w:val="22"/>
        </w:rPr>
        <w:t>»</w:t>
      </w:r>
      <w:r w:rsidRPr="00FE7943">
        <w:rPr>
          <w:b/>
          <w:color w:val="auto"/>
        </w:rPr>
        <w:t xml:space="preserve"> </w:t>
      </w:r>
      <w:r w:rsidRPr="00547FA1">
        <w:rPr>
          <w:b/>
          <w:color w:val="auto"/>
        </w:rPr>
        <w:t xml:space="preserve">для </w:t>
      </w:r>
      <w:r w:rsidR="00494D3D">
        <w:rPr>
          <w:b/>
          <w:color w:val="auto"/>
        </w:rPr>
        <w:t>5</w:t>
      </w:r>
      <w:bookmarkStart w:id="0" w:name="_GoBack"/>
      <w:bookmarkEnd w:id="0"/>
      <w:r>
        <w:rPr>
          <w:b/>
          <w:color w:val="auto"/>
        </w:rPr>
        <w:t xml:space="preserve"> Б класса 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по</w:t>
      </w:r>
      <w:proofErr w:type="gramEnd"/>
      <w:r w:rsidRPr="00547FA1">
        <w:rPr>
          <w:b/>
          <w:color w:val="auto"/>
        </w:rPr>
        <w:t xml:space="preserve"> образовательной программе: «Адаптированная основная общеобразовательная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программа</w:t>
      </w:r>
      <w:proofErr w:type="gramEnd"/>
      <w:r w:rsidRPr="00547FA1">
        <w:rPr>
          <w:b/>
          <w:color w:val="auto"/>
        </w:rPr>
        <w:t xml:space="preserve"> образования обучающихся умеренной, тяжёлой и глубокой с умственной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отсталостью</w:t>
      </w:r>
      <w:proofErr w:type="gramEnd"/>
      <w:r w:rsidRPr="00547FA1">
        <w:rPr>
          <w:b/>
          <w:color w:val="auto"/>
        </w:rPr>
        <w:t xml:space="preserve"> (интеллектуальными нарушениями), тяжелыми и множественными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нарушениями</w:t>
      </w:r>
      <w:proofErr w:type="gramEnd"/>
      <w:r w:rsidRPr="00547FA1">
        <w:rPr>
          <w:b/>
          <w:color w:val="auto"/>
        </w:rPr>
        <w:t xml:space="preserve"> развития  (вариант 2) </w:t>
      </w:r>
    </w:p>
    <w:p w:rsidR="00134236" w:rsidRPr="00547FA1" w:rsidRDefault="00110254" w:rsidP="00FE7943">
      <w:pPr>
        <w:spacing w:after="0" w:line="240" w:lineRule="auto"/>
        <w:ind w:left="0" w:firstLine="0"/>
        <w:jc w:val="center"/>
        <w:rPr>
          <w:color w:val="auto"/>
        </w:rPr>
      </w:pPr>
      <w:r w:rsidRPr="00547FA1">
        <w:rPr>
          <w:b/>
          <w:color w:val="auto"/>
        </w:rPr>
        <w:t xml:space="preserve">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Приобщение ребенка к социальному миру начинается с развития представлений   о  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Программа представлена следующими разделами: «Представления о себе», «Семья», «Гигиена тела», «Туалет», «Одевание и раздевание», «Прием пищи».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Раздел «Представления о себе» включает следующее содержание: представления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 профилактика болезней), поведении, сохраняющем и укрепляющем здоровье, полезных и вредных привычках, возрастных изменениях. Раздел «Гигиена тела» включает задачи по формированию умений умываться, мыться под душем, чистить зубы, мыть голову, стричь ногти, причесываться и т.д.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 Раздел «Обращение с одеждой и обувью» включает задачи по формированию умений ориентироваться в одежде, соблюдать последовательность действий при одевании и снятии предметов одежды. Раздел «Прием пищи» предполагает обучение использованию во время еды столовых приборов, питью из кружки, накладыванию пищи в тарелку, пользованию салфеткой. Задачи по формированию навыков обслуживания себя в туалете включены в раздел «Туалет». В рамках раздела «Семья» предполагается формирование представлений о своем ближайшем окружении: членах семьи, взаимоотношениях между ними, семейных традициях. Ребенок учится соблюдать правила и нормы культуры поведения и общения в семье. Важно, чтобы образцом культуры общения для ребенка </w:t>
      </w:r>
      <w:proofErr w:type="gramStart"/>
      <w:r w:rsidRPr="00547FA1">
        <w:rPr>
          <w:color w:val="auto"/>
        </w:rPr>
        <w:t>являлось  доброжелательное</w:t>
      </w:r>
      <w:proofErr w:type="gramEnd"/>
      <w:r w:rsidRPr="00547FA1">
        <w:rPr>
          <w:color w:val="auto"/>
        </w:rPr>
        <w:t xml:space="preserve"> и заботливое отношение к окружающим, спокойный приветливый тон. Ребенок учится понимать окружающих людей, проявлять к ним внимание, общаться и взаимодействовать с ними.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Содержание разделов представлено с учетом возрастных особенностей. Например, работа по формированию таких гигиенических навыков, как мытье рук, питье из кружки и др., проводится с детьми младшего возраста, а обучение бритью, уходу за кожей лица, мытью в душе и др. проводится с детьми более </w:t>
      </w:r>
      <w:proofErr w:type="spellStart"/>
      <w:r w:rsidRPr="00547FA1">
        <w:rPr>
          <w:color w:val="auto"/>
        </w:rPr>
        <w:t>старшеговозраста</w:t>
      </w:r>
      <w:proofErr w:type="spellEnd"/>
      <w:r w:rsidRPr="00547FA1">
        <w:rPr>
          <w:color w:val="auto"/>
        </w:rPr>
        <w:t xml:space="preserve">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Большинство разделов включает задачи, требующие обучения отдельным операциям, например, при мытье рук ребенок учится удерживать руки под струей воды, намыливать руки и т.д. После того как ребенок их освоит, он учится соблюдать последовательность этих операций. Процесс обучения предусматривает </w:t>
      </w:r>
      <w:proofErr w:type="spellStart"/>
      <w:r w:rsidRPr="00547FA1">
        <w:rPr>
          <w:color w:val="auto"/>
        </w:rPr>
        <w:t>поэтапность</w:t>
      </w:r>
      <w:proofErr w:type="spellEnd"/>
      <w:r w:rsidRPr="00547FA1">
        <w:rPr>
          <w:color w:val="auto"/>
        </w:rPr>
        <w:t xml:space="preserve"> в плане усложнения самих навыков. Например, формирование гигиенических навыков начинают с формирования умения мыть руки, лицо, чистить зубы. На последнем этапе </w:t>
      </w:r>
      <w:proofErr w:type="gramStart"/>
      <w:r w:rsidRPr="00547FA1">
        <w:rPr>
          <w:color w:val="auto"/>
        </w:rPr>
        <w:t>обучения  ребенок</w:t>
      </w:r>
      <w:proofErr w:type="gramEnd"/>
      <w:r w:rsidRPr="00547FA1">
        <w:rPr>
          <w:color w:val="auto"/>
        </w:rPr>
        <w:t xml:space="preserve">  учится принимать душ, мыть голову </w:t>
      </w:r>
      <w:proofErr w:type="spellStart"/>
      <w:r w:rsidRPr="00547FA1">
        <w:rPr>
          <w:color w:val="auto"/>
        </w:rPr>
        <w:t>ит.д</w:t>
      </w:r>
      <w:proofErr w:type="spellEnd"/>
      <w:r w:rsidRPr="00547FA1">
        <w:rPr>
          <w:color w:val="auto"/>
        </w:rPr>
        <w:t xml:space="preserve">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При формировании навыков самообслуживания важно объединять усилия специалистов и родителей. Работа, проводимая в школе, должна продолжаться дома. В домашних условиях возникает больше естественных ситуаций для совершенствования навыков самообслуживания.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>В учебном плане предмет представлен на протяжении 9 лет обучения.  С обучающимися старшего возраста формирование навыков самообслуживания (например, бритье, мытье тела и др.) осуществляется в рамках коррекционно-</w:t>
      </w:r>
      <w:proofErr w:type="spellStart"/>
      <w:r w:rsidRPr="00547FA1">
        <w:rPr>
          <w:color w:val="auto"/>
        </w:rPr>
        <w:t>развивающихзанятий</w:t>
      </w:r>
      <w:proofErr w:type="spellEnd"/>
      <w:r w:rsidRPr="00547FA1">
        <w:rPr>
          <w:color w:val="auto"/>
        </w:rPr>
        <w:t xml:space="preserve">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Для реализации программы предмета «Человек» материально- техническое обеспечение включает: специально оборудованные санузлы для пользования ими обучающимися на инвалидных креслах-колясках; душевые кабины; тренажеры для обучения обращению с одеждой и обувью; </w:t>
      </w:r>
      <w:r w:rsidRPr="00547FA1">
        <w:rPr>
          <w:color w:val="auto"/>
        </w:rPr>
        <w:lastRenderedPageBreak/>
        <w:t xml:space="preserve">насадки для столовых приборов, специальные кружки и другая посуда, облегчающая самостоятельный прием пищи детьми с нарушениями ОДА. Предметные и сюжетные картинки, фотографии с изображением членов семьи ребенка; пиктограммы и видеозаписи действий, правил поведения, пиктограммы с изображением действий, операций самообслуживания, используемых при этом предметов и др. Кроме того, используются видеоматериалы, презентации, мультипликационные фильмы, иллюстрирующие внутрисемейные взаимоотношения; семейный альбом, рабочие тетради с изображениями контуров взрослых и детей для раскрашивания, вырезания, наклеивания, составления фотоколлажей и альбомов; обучающие компьютерные программы, способствующие формированию у детей доступных представлений о ближайшем социальном окружении. По возможности, используются технические средства: компьютер, видеопроектор и другое мультимедийное оборудование. Стеллажи для наглядных пособий, зеркала настенные и индивидуальные, столы, стулья с подлокотниками, подножками и др. </w:t>
      </w:r>
    </w:p>
    <w:p w:rsidR="00134236" w:rsidRPr="00547FA1" w:rsidRDefault="00110254">
      <w:pPr>
        <w:spacing w:after="0" w:line="240" w:lineRule="auto"/>
        <w:ind w:left="0" w:firstLine="0"/>
        <w:jc w:val="center"/>
        <w:rPr>
          <w:color w:val="auto"/>
        </w:rPr>
      </w:pPr>
      <w:r w:rsidRPr="00547FA1">
        <w:rPr>
          <w:b/>
          <w:color w:val="auto"/>
        </w:rPr>
        <w:t xml:space="preserve"> </w:t>
      </w:r>
    </w:p>
    <w:sectPr w:rsidR="00134236" w:rsidRPr="00547FA1">
      <w:footerReference w:type="even" r:id="rId7"/>
      <w:footerReference w:type="default" r:id="rId8"/>
      <w:footerReference w:type="first" r:id="rId9"/>
      <w:pgSz w:w="11906" w:h="16838"/>
      <w:pgMar w:top="575" w:right="565" w:bottom="1267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7CD" w:rsidRDefault="00FE37CD">
      <w:pPr>
        <w:spacing w:after="0" w:line="240" w:lineRule="auto"/>
      </w:pPr>
      <w:r>
        <w:separator/>
      </w:r>
    </w:p>
  </w:endnote>
  <w:endnote w:type="continuationSeparator" w:id="0">
    <w:p w:rsidR="00FE37CD" w:rsidRDefault="00FE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4D3D" w:rsidRPr="00494D3D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7CD" w:rsidRDefault="00FE37CD">
      <w:pPr>
        <w:spacing w:after="0" w:line="240" w:lineRule="auto"/>
      </w:pPr>
      <w:r>
        <w:separator/>
      </w:r>
    </w:p>
  </w:footnote>
  <w:footnote w:type="continuationSeparator" w:id="0">
    <w:p w:rsidR="00FE37CD" w:rsidRDefault="00FE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11D"/>
    <w:multiLevelType w:val="hybridMultilevel"/>
    <w:tmpl w:val="14C05B0C"/>
    <w:lvl w:ilvl="0" w:tplc="3D2C5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866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CF6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664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652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0C6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E15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6D1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7C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4448A"/>
    <w:multiLevelType w:val="hybridMultilevel"/>
    <w:tmpl w:val="332EFA2A"/>
    <w:lvl w:ilvl="0" w:tplc="E7FA008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61A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43C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823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A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E3D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83C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410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E1D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9518CE"/>
    <w:multiLevelType w:val="hybridMultilevel"/>
    <w:tmpl w:val="86AAA3D6"/>
    <w:lvl w:ilvl="0" w:tplc="E7D446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F5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857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840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B5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619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A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C1C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82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FD4FA7"/>
    <w:multiLevelType w:val="hybridMultilevel"/>
    <w:tmpl w:val="1980CB3A"/>
    <w:lvl w:ilvl="0" w:tplc="20E6895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EDCC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ADE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80BD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25D6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4631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8F30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4B5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0E5E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1760E6"/>
    <w:multiLevelType w:val="hybridMultilevel"/>
    <w:tmpl w:val="29E48F44"/>
    <w:lvl w:ilvl="0" w:tplc="AF34F5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A9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E4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5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24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C5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6B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E8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20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5C64B2"/>
    <w:multiLevelType w:val="hybridMultilevel"/>
    <w:tmpl w:val="84F08E42"/>
    <w:lvl w:ilvl="0" w:tplc="EE5C079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637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AC3B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65F4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C852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BF0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005D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6595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CABF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793342"/>
    <w:multiLevelType w:val="hybridMultilevel"/>
    <w:tmpl w:val="330A891A"/>
    <w:lvl w:ilvl="0" w:tplc="27C2AF8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C8F4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EA3C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AF7E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092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C4E3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AA1D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4514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246F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DD3695"/>
    <w:multiLevelType w:val="hybridMultilevel"/>
    <w:tmpl w:val="3E3600B0"/>
    <w:lvl w:ilvl="0" w:tplc="C6A672E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AAB5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ED7D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A4B9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4AC3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2824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06A6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09D5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DB1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BF15D9"/>
    <w:multiLevelType w:val="hybridMultilevel"/>
    <w:tmpl w:val="C1E60EA4"/>
    <w:lvl w:ilvl="0" w:tplc="F3D852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8CA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2EAF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0D9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A15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867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CD4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9CF1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6F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5212C5"/>
    <w:multiLevelType w:val="hybridMultilevel"/>
    <w:tmpl w:val="7A069E30"/>
    <w:lvl w:ilvl="0" w:tplc="1FDEFD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6B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C5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85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80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E7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8C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00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8B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205BBD"/>
    <w:multiLevelType w:val="hybridMultilevel"/>
    <w:tmpl w:val="3344FFCC"/>
    <w:lvl w:ilvl="0" w:tplc="D9949B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64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C80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E52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F0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CA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03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A67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CC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36"/>
    <w:rsid w:val="00110254"/>
    <w:rsid w:val="00134236"/>
    <w:rsid w:val="00494D3D"/>
    <w:rsid w:val="00547FA1"/>
    <w:rsid w:val="006B2922"/>
    <w:rsid w:val="007C232D"/>
    <w:rsid w:val="00D35E57"/>
    <w:rsid w:val="00FE37CD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C999F-1229-4582-9990-201CC5B3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15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User1</cp:lastModifiedBy>
  <cp:revision>7</cp:revision>
  <dcterms:created xsi:type="dcterms:W3CDTF">2024-09-23T02:58:00Z</dcterms:created>
  <dcterms:modified xsi:type="dcterms:W3CDTF">2024-09-23T04:14:00Z</dcterms:modified>
</cp:coreProperties>
</file>